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574" w:rsidRPr="008D2153" w:rsidRDefault="00105806">
      <w:pPr>
        <w:rPr>
          <w:b/>
          <w:sz w:val="36"/>
          <w:szCs w:val="36"/>
        </w:rPr>
      </w:pPr>
      <w:r w:rsidRPr="008D2153">
        <w:rPr>
          <w:b/>
          <w:sz w:val="36"/>
          <w:szCs w:val="36"/>
        </w:rPr>
        <w:t>ENGINEERS AUSTRALIA CHARTERED SELF ASSESSMENT: ACADEMIC PATHWAY</w:t>
      </w:r>
    </w:p>
    <w:p w:rsidR="005B5F06" w:rsidRDefault="005B5F06">
      <w:pPr>
        <w:rPr>
          <w:b/>
          <w:sz w:val="28"/>
          <w:szCs w:val="28"/>
        </w:rPr>
      </w:pPr>
    </w:p>
    <w:p w:rsidR="00554C40" w:rsidRPr="005B5F06" w:rsidRDefault="00554C40">
      <w:pPr>
        <w:rPr>
          <w:b/>
          <w:sz w:val="28"/>
          <w:szCs w:val="28"/>
        </w:rPr>
      </w:pPr>
      <w:r w:rsidRPr="005B5F06">
        <w:rPr>
          <w:b/>
          <w:sz w:val="28"/>
          <w:szCs w:val="28"/>
        </w:rPr>
        <w:t>Name:</w:t>
      </w:r>
      <w:r w:rsidRPr="005B5F06">
        <w:rPr>
          <w:b/>
          <w:sz w:val="28"/>
          <w:szCs w:val="28"/>
        </w:rPr>
        <w:tab/>
      </w:r>
      <w:r w:rsidRPr="005B5F06">
        <w:rPr>
          <w:b/>
          <w:sz w:val="28"/>
          <w:szCs w:val="28"/>
        </w:rPr>
        <w:tab/>
      </w:r>
      <w:r w:rsidRPr="005B5F06">
        <w:rPr>
          <w:b/>
          <w:sz w:val="28"/>
          <w:szCs w:val="28"/>
        </w:rPr>
        <w:tab/>
      </w:r>
      <w:r w:rsidRPr="005B5F06">
        <w:rPr>
          <w:b/>
          <w:sz w:val="28"/>
          <w:szCs w:val="28"/>
        </w:rPr>
        <w:tab/>
      </w:r>
      <w:r w:rsidR="00105806" w:rsidRPr="005B5F06">
        <w:rPr>
          <w:b/>
          <w:sz w:val="28"/>
          <w:szCs w:val="28"/>
        </w:rPr>
        <w:tab/>
      </w:r>
      <w:r w:rsidR="00105806" w:rsidRPr="005B5F06">
        <w:rPr>
          <w:b/>
          <w:sz w:val="28"/>
          <w:szCs w:val="28"/>
        </w:rPr>
        <w:tab/>
      </w:r>
      <w:r w:rsidRPr="005B5F06">
        <w:rPr>
          <w:b/>
          <w:sz w:val="28"/>
          <w:szCs w:val="28"/>
        </w:rPr>
        <w:t>EA ID:</w:t>
      </w:r>
      <w:r w:rsidRPr="005B5F06">
        <w:rPr>
          <w:b/>
          <w:sz w:val="28"/>
          <w:szCs w:val="28"/>
        </w:rPr>
        <w:tab/>
      </w:r>
      <w:r w:rsidRPr="005B5F06">
        <w:rPr>
          <w:b/>
          <w:sz w:val="28"/>
          <w:szCs w:val="28"/>
        </w:rPr>
        <w:tab/>
      </w:r>
      <w:r w:rsidRPr="005B5F06">
        <w:rPr>
          <w:b/>
          <w:sz w:val="28"/>
          <w:szCs w:val="28"/>
        </w:rPr>
        <w:tab/>
      </w:r>
      <w:r w:rsidRPr="005B5F06">
        <w:rPr>
          <w:b/>
          <w:sz w:val="28"/>
          <w:szCs w:val="28"/>
        </w:rPr>
        <w:tab/>
      </w:r>
      <w:r w:rsidRPr="005B5F06">
        <w:rPr>
          <w:b/>
          <w:sz w:val="28"/>
          <w:szCs w:val="28"/>
        </w:rPr>
        <w:tab/>
        <w:t>University:</w:t>
      </w:r>
    </w:p>
    <w:p w:rsidR="005B5F06" w:rsidRDefault="005B5F06"/>
    <w:p w:rsidR="00554C40" w:rsidRPr="005B5F06" w:rsidRDefault="00554C40">
      <w:pPr>
        <w:rPr>
          <w:sz w:val="24"/>
          <w:szCs w:val="24"/>
        </w:rPr>
      </w:pPr>
      <w:r w:rsidRPr="005B5F06">
        <w:rPr>
          <w:sz w:val="24"/>
          <w:szCs w:val="24"/>
        </w:rPr>
        <w:t>Please assign a competence rating to each Element.  Then provide a brief comment has to what area/activities of your Academic Portfolio provides support to your rating.</w:t>
      </w:r>
    </w:p>
    <w:p w:rsidR="008D2153" w:rsidRPr="005B5F06" w:rsidRDefault="008D2153">
      <w:pPr>
        <w:rPr>
          <w:sz w:val="24"/>
          <w:szCs w:val="24"/>
        </w:rPr>
      </w:pPr>
      <w:r w:rsidRPr="005B5F06">
        <w:rPr>
          <w:sz w:val="24"/>
          <w:szCs w:val="24"/>
        </w:rPr>
        <w:t xml:space="preserve">You are responding to the Australian Engineering Stage 2 Competency Standards.  The full set of Standards can be found here: </w:t>
      </w:r>
      <w:hyperlink r:id="rId4" w:history="1">
        <w:r w:rsidRPr="005B5F06">
          <w:rPr>
            <w:rStyle w:val="Hyperlink"/>
            <w:sz w:val="24"/>
            <w:szCs w:val="24"/>
          </w:rPr>
          <w:t>https://www.engineersaustralia.org.au/Membership/Chartered/Chartered-Help</w:t>
        </w:r>
      </w:hyperlink>
    </w:p>
    <w:p w:rsidR="008D2153" w:rsidRPr="005B5F06" w:rsidRDefault="008D2153">
      <w:pPr>
        <w:rPr>
          <w:sz w:val="24"/>
          <w:szCs w:val="24"/>
        </w:rPr>
      </w:pPr>
      <w:r w:rsidRPr="005B5F06">
        <w:rPr>
          <w:sz w:val="24"/>
          <w:szCs w:val="24"/>
        </w:rPr>
        <w:t>Your submitted Academic Portfolio should cover activities that clearly demonstrate the Technical Proficiency group of the Elements of Competency.  Please familiarize yourself with the full set of 16 Chartered competencies in preparation for your Professional Interview.</w:t>
      </w:r>
    </w:p>
    <w:p w:rsidR="005B5F06" w:rsidRDefault="005B5F06">
      <w:pPr>
        <w:rPr>
          <w:b/>
        </w:rPr>
      </w:pPr>
    </w:p>
    <w:p w:rsidR="00554C40" w:rsidRPr="008D2153" w:rsidRDefault="00105806">
      <w:pPr>
        <w:rPr>
          <w:b/>
        </w:rPr>
      </w:pPr>
      <w:r w:rsidRPr="008D2153">
        <w:rPr>
          <w:b/>
        </w:rPr>
        <w:t>RATINGS:</w:t>
      </w:r>
    </w:p>
    <w:tbl>
      <w:tblPr>
        <w:tblStyle w:val="TableGrid"/>
        <w:tblW w:w="0" w:type="auto"/>
        <w:tblLook w:val="04A0" w:firstRow="1" w:lastRow="0" w:firstColumn="1" w:lastColumn="0" w:noHBand="0" w:noVBand="1"/>
      </w:tblPr>
      <w:tblGrid>
        <w:gridCol w:w="3666"/>
        <w:gridCol w:w="3666"/>
        <w:gridCol w:w="3666"/>
        <w:gridCol w:w="3667"/>
      </w:tblGrid>
      <w:tr w:rsidR="00554C40" w:rsidRPr="008D2153" w:rsidTr="00105806">
        <w:tc>
          <w:tcPr>
            <w:tcW w:w="3666" w:type="dxa"/>
          </w:tcPr>
          <w:p w:rsidR="00554C40" w:rsidRPr="008D2153" w:rsidRDefault="00554C40">
            <w:pPr>
              <w:rPr>
                <w:b/>
              </w:rPr>
            </w:pPr>
            <w:r w:rsidRPr="008D2153">
              <w:rPr>
                <w:b/>
              </w:rPr>
              <w:t>Developing</w:t>
            </w:r>
          </w:p>
        </w:tc>
        <w:tc>
          <w:tcPr>
            <w:tcW w:w="3666" w:type="dxa"/>
          </w:tcPr>
          <w:p w:rsidR="00554C40" w:rsidRPr="008D2153" w:rsidRDefault="00554C40">
            <w:pPr>
              <w:rPr>
                <w:b/>
              </w:rPr>
            </w:pPr>
            <w:r w:rsidRPr="008D2153">
              <w:rPr>
                <w:b/>
              </w:rPr>
              <w:t>Functional</w:t>
            </w:r>
          </w:p>
        </w:tc>
        <w:tc>
          <w:tcPr>
            <w:tcW w:w="3666" w:type="dxa"/>
          </w:tcPr>
          <w:p w:rsidR="00554C40" w:rsidRPr="008D2153" w:rsidRDefault="00554C40">
            <w:pPr>
              <w:rPr>
                <w:b/>
              </w:rPr>
            </w:pPr>
            <w:r w:rsidRPr="008D2153">
              <w:rPr>
                <w:b/>
              </w:rPr>
              <w:t>Proficient</w:t>
            </w:r>
          </w:p>
        </w:tc>
        <w:tc>
          <w:tcPr>
            <w:tcW w:w="3667" w:type="dxa"/>
          </w:tcPr>
          <w:p w:rsidR="00554C40" w:rsidRPr="008D2153" w:rsidRDefault="00554C40">
            <w:pPr>
              <w:rPr>
                <w:b/>
              </w:rPr>
            </w:pPr>
            <w:r w:rsidRPr="008D2153">
              <w:rPr>
                <w:b/>
              </w:rPr>
              <w:t>Experienced</w:t>
            </w:r>
          </w:p>
        </w:tc>
      </w:tr>
      <w:tr w:rsidR="00554C40" w:rsidRPr="008D2153" w:rsidTr="00105806">
        <w:tc>
          <w:tcPr>
            <w:tcW w:w="3666" w:type="dxa"/>
          </w:tcPr>
          <w:p w:rsidR="00554C40" w:rsidRPr="008D2153" w:rsidRDefault="00554C40">
            <w:r w:rsidRPr="008D2153">
              <w:t>An aspect of practice that you are learning, with help from one or more experienced practitioners and possibly supervision to help you practice at an acceptable level</w:t>
            </w:r>
          </w:p>
        </w:tc>
        <w:tc>
          <w:tcPr>
            <w:tcW w:w="3666" w:type="dxa"/>
          </w:tcPr>
          <w:p w:rsidR="00554C40" w:rsidRPr="008D2153" w:rsidRDefault="00554C40">
            <w:r w:rsidRPr="008D2153">
              <w:t>An aspect of practice in which you have a basic capability to practice independently at an acceptable standard without help or supervision</w:t>
            </w:r>
          </w:p>
        </w:tc>
        <w:tc>
          <w:tcPr>
            <w:tcW w:w="3666" w:type="dxa"/>
          </w:tcPr>
          <w:p w:rsidR="00554C40" w:rsidRPr="008D2153" w:rsidRDefault="00554C40">
            <w:r w:rsidRPr="008D2153">
              <w:t xml:space="preserve">An aspect of practice in which your capability </w:t>
            </w:r>
            <w:proofErr w:type="spellStart"/>
            <w:r w:rsidRPr="008D2153">
              <w:t>t</w:t>
            </w:r>
            <w:proofErr w:type="spellEnd"/>
            <w:r w:rsidRPr="008D2153">
              <w:t xml:space="preserve"> practice independently has been recognized through formal peer review, and in which you have capacity to help others develop their capability</w:t>
            </w:r>
          </w:p>
        </w:tc>
        <w:tc>
          <w:tcPr>
            <w:tcW w:w="3667" w:type="dxa"/>
          </w:tcPr>
          <w:p w:rsidR="00554C40" w:rsidRPr="008D2153" w:rsidRDefault="00554C40">
            <w:r w:rsidRPr="008D2153">
              <w:t xml:space="preserve">An aspect of practice in which your capability to practice independently has been </w:t>
            </w:r>
            <w:proofErr w:type="spellStart"/>
            <w:r w:rsidRPr="008D2153">
              <w:t>recognised</w:t>
            </w:r>
            <w:proofErr w:type="spellEnd"/>
            <w:r w:rsidRPr="008D2153">
              <w:t xml:space="preserve"> through formal peer review, and in which you have the capacity to manage and develop team capability</w:t>
            </w:r>
          </w:p>
        </w:tc>
      </w:tr>
    </w:tbl>
    <w:p w:rsidR="00554C40" w:rsidRPr="008D2153" w:rsidRDefault="00554C40" w:rsidP="00105806">
      <w:pPr>
        <w:spacing w:after="0"/>
      </w:pPr>
    </w:p>
    <w:p w:rsidR="008D2153" w:rsidRPr="008D2153" w:rsidRDefault="008D2153">
      <w:pPr>
        <w:rPr>
          <w:b/>
          <w:i/>
          <w:sz w:val="28"/>
          <w:szCs w:val="28"/>
        </w:rPr>
      </w:pPr>
    </w:p>
    <w:p w:rsidR="008D2153" w:rsidRPr="008D2153" w:rsidRDefault="008D2153">
      <w:pPr>
        <w:rPr>
          <w:b/>
          <w:i/>
          <w:sz w:val="28"/>
          <w:szCs w:val="28"/>
        </w:rPr>
      </w:pPr>
    </w:p>
    <w:p w:rsidR="008D2153" w:rsidRPr="008D2153" w:rsidRDefault="008D2153">
      <w:pPr>
        <w:rPr>
          <w:b/>
          <w:i/>
          <w:sz w:val="28"/>
          <w:szCs w:val="28"/>
        </w:rPr>
      </w:pPr>
    </w:p>
    <w:p w:rsidR="008D2153" w:rsidRPr="008D2153" w:rsidRDefault="008D2153">
      <w:pPr>
        <w:rPr>
          <w:b/>
          <w:i/>
          <w:sz w:val="28"/>
          <w:szCs w:val="28"/>
        </w:rPr>
      </w:pPr>
    </w:p>
    <w:p w:rsidR="008D2153" w:rsidRPr="008D2153" w:rsidRDefault="008D2153">
      <w:pPr>
        <w:rPr>
          <w:b/>
          <w:i/>
          <w:sz w:val="28"/>
          <w:szCs w:val="28"/>
        </w:rPr>
      </w:pPr>
    </w:p>
    <w:p w:rsidR="008D2153" w:rsidRPr="008D2153" w:rsidRDefault="008D2153">
      <w:pPr>
        <w:rPr>
          <w:b/>
          <w:i/>
          <w:sz w:val="28"/>
          <w:szCs w:val="28"/>
        </w:rPr>
      </w:pPr>
    </w:p>
    <w:p w:rsidR="00554C40" w:rsidRPr="008D2153" w:rsidRDefault="00554C40">
      <w:pPr>
        <w:rPr>
          <w:b/>
          <w:i/>
        </w:rPr>
      </w:pPr>
      <w:r w:rsidRPr="008D2153">
        <w:rPr>
          <w:b/>
          <w:i/>
          <w:sz w:val="28"/>
          <w:szCs w:val="28"/>
        </w:rPr>
        <w:t>Personal Commitment:</w:t>
      </w:r>
      <w:r w:rsidRPr="008D2153">
        <w:rPr>
          <w:b/>
          <w:i/>
        </w:rPr>
        <w:t xml:space="preserve"> This group of E</w:t>
      </w:r>
      <w:r w:rsidR="00236B7B" w:rsidRPr="008D2153">
        <w:rPr>
          <w:b/>
          <w:i/>
        </w:rPr>
        <w:t xml:space="preserve">lements of Competency includes </w:t>
      </w:r>
      <w:r w:rsidRPr="008D2153">
        <w:rPr>
          <w:b/>
          <w:i/>
        </w:rPr>
        <w:t>key aspects of an engineering practitioner’s personal commitment to themselves, dealing with ethical issues, keeping up to date (and developing competence) and a personal sense of responsibility.</w:t>
      </w:r>
    </w:p>
    <w:tbl>
      <w:tblPr>
        <w:tblStyle w:val="TableGrid"/>
        <w:tblW w:w="0" w:type="auto"/>
        <w:tblLook w:val="04A0" w:firstRow="1" w:lastRow="0" w:firstColumn="1" w:lastColumn="0" w:noHBand="0" w:noVBand="1"/>
      </w:tblPr>
      <w:tblGrid>
        <w:gridCol w:w="2695"/>
        <w:gridCol w:w="3779"/>
        <w:gridCol w:w="1891"/>
        <w:gridCol w:w="6300"/>
      </w:tblGrid>
      <w:tr w:rsidR="00554C40" w:rsidRPr="008D2153" w:rsidTr="00105806">
        <w:tc>
          <w:tcPr>
            <w:tcW w:w="2695" w:type="dxa"/>
          </w:tcPr>
          <w:p w:rsidR="00554C40" w:rsidRPr="008D2153" w:rsidRDefault="00554C40">
            <w:pPr>
              <w:rPr>
                <w:b/>
              </w:rPr>
            </w:pPr>
            <w:r w:rsidRPr="008D2153">
              <w:rPr>
                <w:b/>
              </w:rPr>
              <w:t>Competency Element</w:t>
            </w:r>
          </w:p>
        </w:tc>
        <w:tc>
          <w:tcPr>
            <w:tcW w:w="3779" w:type="dxa"/>
          </w:tcPr>
          <w:p w:rsidR="00554C40" w:rsidRPr="008D2153" w:rsidRDefault="00554C40">
            <w:pPr>
              <w:rPr>
                <w:b/>
              </w:rPr>
            </w:pPr>
            <w:r w:rsidRPr="008D2153">
              <w:rPr>
                <w:b/>
              </w:rPr>
              <w:t>What this competence means in practice</w:t>
            </w:r>
          </w:p>
        </w:tc>
        <w:tc>
          <w:tcPr>
            <w:tcW w:w="1891" w:type="dxa"/>
          </w:tcPr>
          <w:p w:rsidR="00554C40" w:rsidRPr="008D2153" w:rsidRDefault="00554C40">
            <w:pPr>
              <w:rPr>
                <w:b/>
              </w:rPr>
            </w:pPr>
            <w:r w:rsidRPr="008D2153">
              <w:rPr>
                <w:b/>
              </w:rPr>
              <w:t>Rating:</w:t>
            </w:r>
          </w:p>
        </w:tc>
        <w:tc>
          <w:tcPr>
            <w:tcW w:w="6300" w:type="dxa"/>
          </w:tcPr>
          <w:p w:rsidR="00554C40" w:rsidRPr="008D2153" w:rsidRDefault="00554C40">
            <w:pPr>
              <w:rPr>
                <w:b/>
              </w:rPr>
            </w:pPr>
            <w:r w:rsidRPr="008D2153">
              <w:rPr>
                <w:b/>
              </w:rPr>
              <w:t>Which area of your Academic Portfolio provides support to your rating:</w:t>
            </w:r>
          </w:p>
        </w:tc>
      </w:tr>
      <w:tr w:rsidR="00554C40" w:rsidRPr="008D2153" w:rsidTr="00105806">
        <w:tc>
          <w:tcPr>
            <w:tcW w:w="2695" w:type="dxa"/>
          </w:tcPr>
          <w:p w:rsidR="00554C40" w:rsidRPr="008D2153" w:rsidRDefault="00554C40">
            <w:pPr>
              <w:rPr>
                <w:i/>
              </w:rPr>
            </w:pPr>
            <w:r w:rsidRPr="008D2153">
              <w:rPr>
                <w:i/>
              </w:rPr>
              <w:t>Deal with Ethical Issues</w:t>
            </w:r>
          </w:p>
        </w:tc>
        <w:tc>
          <w:tcPr>
            <w:tcW w:w="3779" w:type="dxa"/>
          </w:tcPr>
          <w:p w:rsidR="00991C42" w:rsidRPr="008D2153" w:rsidRDefault="00105806" w:rsidP="00105806">
            <w:pPr>
              <w:autoSpaceDE w:val="0"/>
              <w:autoSpaceDN w:val="0"/>
              <w:adjustRightInd w:val="0"/>
              <w:rPr>
                <w:rFonts w:cs="Times New Roman"/>
                <w:bCs/>
                <w:sz w:val="24"/>
                <w:szCs w:val="24"/>
              </w:rPr>
            </w:pPr>
            <w:r w:rsidRPr="008D2153">
              <w:rPr>
                <w:rFonts w:cs="Times New Roman"/>
                <w:bCs/>
                <w:sz w:val="24"/>
                <w:szCs w:val="24"/>
              </w:rPr>
              <w:t>M</w:t>
            </w:r>
            <w:r w:rsidR="00991C42" w:rsidRPr="008D2153">
              <w:rPr>
                <w:rFonts w:cs="Times New Roman"/>
                <w:bCs/>
                <w:sz w:val="24"/>
                <w:szCs w:val="24"/>
              </w:rPr>
              <w:t>eans you anticipate the consequences of your</w:t>
            </w:r>
          </w:p>
          <w:p w:rsidR="00991C42" w:rsidRPr="008D2153" w:rsidRDefault="00991C42" w:rsidP="00105806">
            <w:pPr>
              <w:autoSpaceDE w:val="0"/>
              <w:autoSpaceDN w:val="0"/>
              <w:adjustRightInd w:val="0"/>
              <w:rPr>
                <w:rFonts w:cs="Times New Roman"/>
                <w:bCs/>
                <w:sz w:val="24"/>
                <w:szCs w:val="24"/>
              </w:rPr>
            </w:pPr>
            <w:r w:rsidRPr="008D2153">
              <w:rPr>
                <w:rFonts w:cs="Times New Roman"/>
                <w:bCs/>
                <w:sz w:val="24"/>
                <w:szCs w:val="24"/>
              </w:rPr>
              <w:t>intended action or inaction and understand how the</w:t>
            </w:r>
          </w:p>
          <w:p w:rsidR="00991C42" w:rsidRPr="008D2153" w:rsidRDefault="00991C42" w:rsidP="00105806">
            <w:pPr>
              <w:autoSpaceDE w:val="0"/>
              <w:autoSpaceDN w:val="0"/>
              <w:adjustRightInd w:val="0"/>
              <w:rPr>
                <w:rFonts w:cs="Times New Roman"/>
                <w:bCs/>
                <w:sz w:val="24"/>
                <w:szCs w:val="24"/>
              </w:rPr>
            </w:pPr>
            <w:r w:rsidRPr="008D2153">
              <w:rPr>
                <w:rFonts w:cs="Times New Roman"/>
                <w:bCs/>
                <w:sz w:val="24"/>
                <w:szCs w:val="24"/>
              </w:rPr>
              <w:t>consequences are managed collectively by your</w:t>
            </w:r>
          </w:p>
          <w:p w:rsidR="00991C42" w:rsidRPr="008D2153" w:rsidRDefault="00991C42" w:rsidP="008D2153">
            <w:pPr>
              <w:autoSpaceDE w:val="0"/>
              <w:autoSpaceDN w:val="0"/>
              <w:adjustRightInd w:val="0"/>
              <w:spacing w:after="120"/>
              <w:rPr>
                <w:rFonts w:cs="Times New Roman"/>
                <w:bCs/>
                <w:sz w:val="24"/>
                <w:szCs w:val="24"/>
              </w:rPr>
            </w:pPr>
            <w:proofErr w:type="spellStart"/>
            <w:r w:rsidRPr="008D2153">
              <w:rPr>
                <w:rFonts w:cs="Times New Roman"/>
                <w:bCs/>
                <w:sz w:val="24"/>
                <w:szCs w:val="24"/>
              </w:rPr>
              <w:t>organisation</w:t>
            </w:r>
            <w:proofErr w:type="spellEnd"/>
            <w:r w:rsidRPr="008D2153">
              <w:rPr>
                <w:rFonts w:cs="Times New Roman"/>
                <w:bCs/>
                <w:sz w:val="24"/>
                <w:szCs w:val="24"/>
              </w:rPr>
              <w:t>, project or team; and</w:t>
            </w:r>
          </w:p>
          <w:p w:rsidR="00991C42" w:rsidRPr="008D2153" w:rsidRDefault="00105806" w:rsidP="00105806">
            <w:pPr>
              <w:autoSpaceDE w:val="0"/>
              <w:autoSpaceDN w:val="0"/>
              <w:adjustRightInd w:val="0"/>
              <w:rPr>
                <w:rFonts w:cs="Times New Roman"/>
                <w:bCs/>
                <w:sz w:val="24"/>
                <w:szCs w:val="24"/>
              </w:rPr>
            </w:pPr>
            <w:r w:rsidRPr="008D2153">
              <w:rPr>
                <w:rFonts w:cs="Times New Roman"/>
                <w:bCs/>
                <w:sz w:val="24"/>
                <w:szCs w:val="24"/>
              </w:rPr>
              <w:t>M</w:t>
            </w:r>
            <w:r w:rsidR="00991C42" w:rsidRPr="008D2153">
              <w:rPr>
                <w:rFonts w:cs="Times New Roman"/>
                <w:bCs/>
                <w:sz w:val="24"/>
                <w:szCs w:val="24"/>
              </w:rPr>
              <w:t>eans you demonstrate an ability to identify ethical</w:t>
            </w:r>
          </w:p>
          <w:p w:rsidR="00554C40" w:rsidRPr="008D2153" w:rsidRDefault="00991C42" w:rsidP="00105806">
            <w:r w:rsidRPr="008D2153">
              <w:rPr>
                <w:rFonts w:cs="Times New Roman"/>
                <w:bCs/>
                <w:sz w:val="24"/>
                <w:szCs w:val="24"/>
              </w:rPr>
              <w:t>issues when they arise and act appropriately</w:t>
            </w:r>
          </w:p>
        </w:tc>
        <w:tc>
          <w:tcPr>
            <w:tcW w:w="1891" w:type="dxa"/>
          </w:tcPr>
          <w:p w:rsidR="00554C40" w:rsidRPr="008D2153" w:rsidRDefault="00554C40"/>
        </w:tc>
        <w:tc>
          <w:tcPr>
            <w:tcW w:w="6300" w:type="dxa"/>
          </w:tcPr>
          <w:p w:rsidR="00554C40" w:rsidRPr="008D2153" w:rsidRDefault="00554C40"/>
        </w:tc>
      </w:tr>
      <w:tr w:rsidR="00554C40" w:rsidRPr="008D2153" w:rsidTr="00105806">
        <w:tc>
          <w:tcPr>
            <w:tcW w:w="2695" w:type="dxa"/>
          </w:tcPr>
          <w:p w:rsidR="00554C40" w:rsidRPr="008D2153" w:rsidRDefault="00991C42">
            <w:pPr>
              <w:rPr>
                <w:i/>
              </w:rPr>
            </w:pPr>
            <w:r w:rsidRPr="008D2153">
              <w:rPr>
                <w:i/>
              </w:rPr>
              <w:t>Practice Competently</w:t>
            </w:r>
          </w:p>
        </w:tc>
        <w:tc>
          <w:tcPr>
            <w:tcW w:w="3779" w:type="dxa"/>
          </w:tcPr>
          <w:p w:rsidR="00991C42" w:rsidRPr="008D2153" w:rsidRDefault="00105806" w:rsidP="00991C42">
            <w:pPr>
              <w:autoSpaceDE w:val="0"/>
              <w:autoSpaceDN w:val="0"/>
              <w:adjustRightInd w:val="0"/>
              <w:rPr>
                <w:rFonts w:cs="Times New Roman"/>
                <w:bCs/>
                <w:sz w:val="24"/>
                <w:szCs w:val="24"/>
              </w:rPr>
            </w:pPr>
            <w:r w:rsidRPr="008D2153">
              <w:rPr>
                <w:rFonts w:cs="Times New Roman"/>
                <w:bCs/>
                <w:sz w:val="24"/>
                <w:szCs w:val="24"/>
              </w:rPr>
              <w:t>M</w:t>
            </w:r>
            <w:r w:rsidR="00991C42" w:rsidRPr="008D2153">
              <w:rPr>
                <w:rFonts w:cs="Times New Roman"/>
                <w:bCs/>
                <w:sz w:val="24"/>
                <w:szCs w:val="24"/>
              </w:rPr>
              <w:t>eans you assess, acquire and apply the competencies</w:t>
            </w:r>
          </w:p>
          <w:p w:rsidR="00554C40" w:rsidRPr="008D2153" w:rsidRDefault="00991C42" w:rsidP="00991C42">
            <w:r w:rsidRPr="008D2153">
              <w:rPr>
                <w:rFonts w:cs="Times New Roman"/>
                <w:bCs/>
                <w:sz w:val="24"/>
                <w:szCs w:val="24"/>
              </w:rPr>
              <w:t>and resources appropriate to engineering activities.</w:t>
            </w:r>
          </w:p>
        </w:tc>
        <w:tc>
          <w:tcPr>
            <w:tcW w:w="1891" w:type="dxa"/>
          </w:tcPr>
          <w:p w:rsidR="00554C40" w:rsidRPr="008D2153" w:rsidRDefault="00554C40"/>
        </w:tc>
        <w:tc>
          <w:tcPr>
            <w:tcW w:w="6300" w:type="dxa"/>
          </w:tcPr>
          <w:p w:rsidR="00554C40" w:rsidRPr="008D2153" w:rsidRDefault="00554C40"/>
        </w:tc>
      </w:tr>
      <w:tr w:rsidR="00554C40" w:rsidRPr="008D2153" w:rsidTr="00105806">
        <w:tc>
          <w:tcPr>
            <w:tcW w:w="2695" w:type="dxa"/>
          </w:tcPr>
          <w:p w:rsidR="00554C40" w:rsidRPr="008D2153" w:rsidRDefault="00991C42">
            <w:pPr>
              <w:rPr>
                <w:i/>
              </w:rPr>
            </w:pPr>
            <w:r w:rsidRPr="008D2153">
              <w:rPr>
                <w:i/>
              </w:rPr>
              <w:t>Responsibility for Engineering Activities</w:t>
            </w:r>
          </w:p>
        </w:tc>
        <w:tc>
          <w:tcPr>
            <w:tcW w:w="3779" w:type="dxa"/>
          </w:tcPr>
          <w:p w:rsidR="00236B7B" w:rsidRPr="008D2153" w:rsidRDefault="00105806" w:rsidP="008D2153">
            <w:pPr>
              <w:autoSpaceDE w:val="0"/>
              <w:autoSpaceDN w:val="0"/>
              <w:adjustRightInd w:val="0"/>
              <w:spacing w:after="120"/>
              <w:rPr>
                <w:rFonts w:cs="Times New Roman"/>
                <w:bCs/>
                <w:sz w:val="24"/>
                <w:szCs w:val="24"/>
              </w:rPr>
            </w:pPr>
            <w:r w:rsidRPr="008D2153">
              <w:rPr>
                <w:rFonts w:cs="Times New Roman"/>
                <w:bCs/>
                <w:sz w:val="24"/>
                <w:szCs w:val="24"/>
              </w:rPr>
              <w:t>M</w:t>
            </w:r>
            <w:r w:rsidR="00236B7B" w:rsidRPr="008D2153">
              <w:rPr>
                <w:rFonts w:cs="Times New Roman"/>
                <w:bCs/>
                <w:sz w:val="24"/>
                <w:szCs w:val="24"/>
              </w:rPr>
              <w:t>eans you display a personal sense of responsibility for your work; and</w:t>
            </w:r>
          </w:p>
          <w:p w:rsidR="00236B7B" w:rsidRPr="008D2153" w:rsidRDefault="008D2153" w:rsidP="00236B7B">
            <w:pPr>
              <w:autoSpaceDE w:val="0"/>
              <w:autoSpaceDN w:val="0"/>
              <w:adjustRightInd w:val="0"/>
              <w:rPr>
                <w:rFonts w:cs="Times New Roman"/>
                <w:bCs/>
                <w:sz w:val="24"/>
                <w:szCs w:val="24"/>
              </w:rPr>
            </w:pPr>
            <w:r>
              <w:rPr>
                <w:rFonts w:cs="Times New Roman"/>
                <w:bCs/>
                <w:sz w:val="24"/>
                <w:szCs w:val="24"/>
              </w:rPr>
              <w:t>M</w:t>
            </w:r>
            <w:r w:rsidR="00236B7B" w:rsidRPr="008D2153">
              <w:rPr>
                <w:rFonts w:cs="Times New Roman"/>
                <w:bCs/>
                <w:sz w:val="24"/>
                <w:szCs w:val="24"/>
              </w:rPr>
              <w:t>eans you clearly acknowledge your own contributions and the contributions from others and</w:t>
            </w:r>
          </w:p>
          <w:p w:rsidR="00554C40" w:rsidRPr="008D2153" w:rsidRDefault="00236B7B" w:rsidP="00236B7B">
            <w:r w:rsidRPr="008D2153">
              <w:rPr>
                <w:rFonts w:cs="Times New Roman"/>
                <w:bCs/>
                <w:sz w:val="24"/>
                <w:szCs w:val="24"/>
              </w:rPr>
              <w:t>distinguish contributions you may have made as a result of discussions or collaboration with other people.</w:t>
            </w:r>
          </w:p>
        </w:tc>
        <w:tc>
          <w:tcPr>
            <w:tcW w:w="1891" w:type="dxa"/>
          </w:tcPr>
          <w:p w:rsidR="00554C40" w:rsidRPr="008D2153" w:rsidRDefault="00554C40"/>
        </w:tc>
        <w:tc>
          <w:tcPr>
            <w:tcW w:w="6300" w:type="dxa"/>
          </w:tcPr>
          <w:p w:rsidR="00554C40" w:rsidRPr="008D2153" w:rsidRDefault="00554C40"/>
        </w:tc>
      </w:tr>
    </w:tbl>
    <w:p w:rsidR="00554C40" w:rsidRPr="008D2153" w:rsidRDefault="00554C40" w:rsidP="00105806">
      <w:pPr>
        <w:spacing w:after="0"/>
      </w:pPr>
    </w:p>
    <w:p w:rsidR="008D2153" w:rsidRPr="008D2153" w:rsidRDefault="008D2153">
      <w:pPr>
        <w:rPr>
          <w:b/>
          <w:i/>
          <w:sz w:val="28"/>
          <w:szCs w:val="28"/>
        </w:rPr>
      </w:pPr>
    </w:p>
    <w:p w:rsidR="008D2153" w:rsidRPr="008D2153" w:rsidRDefault="008D2153">
      <w:pPr>
        <w:rPr>
          <w:b/>
          <w:i/>
          <w:sz w:val="28"/>
          <w:szCs w:val="28"/>
        </w:rPr>
      </w:pPr>
    </w:p>
    <w:p w:rsidR="008D2153" w:rsidRPr="008D2153" w:rsidRDefault="008D2153">
      <w:pPr>
        <w:rPr>
          <w:b/>
          <w:i/>
          <w:sz w:val="28"/>
          <w:szCs w:val="28"/>
        </w:rPr>
      </w:pPr>
    </w:p>
    <w:p w:rsidR="00236B7B" w:rsidRPr="008D2153" w:rsidRDefault="00236B7B">
      <w:pPr>
        <w:rPr>
          <w:b/>
          <w:i/>
        </w:rPr>
      </w:pPr>
      <w:r w:rsidRPr="008D2153">
        <w:rPr>
          <w:b/>
          <w:i/>
          <w:sz w:val="28"/>
          <w:szCs w:val="28"/>
        </w:rPr>
        <w:t xml:space="preserve">Obligation to the Community: </w:t>
      </w:r>
      <w:r w:rsidRPr="008D2153">
        <w:rPr>
          <w:b/>
          <w:i/>
        </w:rPr>
        <w:t>This group of Elements of Competency includes key aspects of an engineering practitioner’s obligation to the community, safe and sustainable solutions, engaging appropriately with the community, managing risk and observing the law.  Community can be the general public, regulatory authorities, your employer or your students</w:t>
      </w:r>
    </w:p>
    <w:tbl>
      <w:tblPr>
        <w:tblStyle w:val="TableGrid"/>
        <w:tblW w:w="0" w:type="auto"/>
        <w:tblLook w:val="04A0" w:firstRow="1" w:lastRow="0" w:firstColumn="1" w:lastColumn="0" w:noHBand="0" w:noVBand="1"/>
      </w:tblPr>
      <w:tblGrid>
        <w:gridCol w:w="2695"/>
        <w:gridCol w:w="3779"/>
        <w:gridCol w:w="1891"/>
        <w:gridCol w:w="6300"/>
      </w:tblGrid>
      <w:tr w:rsidR="00236B7B" w:rsidRPr="008D2153" w:rsidTr="00105806">
        <w:tc>
          <w:tcPr>
            <w:tcW w:w="2695" w:type="dxa"/>
          </w:tcPr>
          <w:p w:rsidR="00236B7B" w:rsidRPr="008D2153" w:rsidRDefault="00236B7B">
            <w:pPr>
              <w:rPr>
                <w:b/>
              </w:rPr>
            </w:pPr>
            <w:r w:rsidRPr="008D2153">
              <w:rPr>
                <w:b/>
              </w:rPr>
              <w:t>Competency</w:t>
            </w:r>
          </w:p>
        </w:tc>
        <w:tc>
          <w:tcPr>
            <w:tcW w:w="3779" w:type="dxa"/>
          </w:tcPr>
          <w:p w:rsidR="00236B7B" w:rsidRPr="008D2153" w:rsidRDefault="00236B7B">
            <w:pPr>
              <w:rPr>
                <w:b/>
              </w:rPr>
            </w:pPr>
            <w:r w:rsidRPr="008D2153">
              <w:rPr>
                <w:b/>
              </w:rPr>
              <w:t>What this competence means in practice</w:t>
            </w:r>
          </w:p>
        </w:tc>
        <w:tc>
          <w:tcPr>
            <w:tcW w:w="1891" w:type="dxa"/>
          </w:tcPr>
          <w:p w:rsidR="00236B7B" w:rsidRPr="008D2153" w:rsidRDefault="00236B7B">
            <w:pPr>
              <w:rPr>
                <w:b/>
              </w:rPr>
            </w:pPr>
            <w:r w:rsidRPr="008D2153">
              <w:rPr>
                <w:b/>
              </w:rPr>
              <w:t>Rating</w:t>
            </w:r>
            <w:r w:rsidR="00105806" w:rsidRPr="008D2153">
              <w:rPr>
                <w:b/>
              </w:rPr>
              <w:t>:</w:t>
            </w:r>
          </w:p>
        </w:tc>
        <w:tc>
          <w:tcPr>
            <w:tcW w:w="6300" w:type="dxa"/>
          </w:tcPr>
          <w:p w:rsidR="00236B7B" w:rsidRPr="008D2153" w:rsidRDefault="00236B7B">
            <w:pPr>
              <w:rPr>
                <w:b/>
              </w:rPr>
            </w:pPr>
            <w:r w:rsidRPr="008D2153">
              <w:rPr>
                <w:b/>
              </w:rPr>
              <w:t>Which area of your Academic Portfolio provides support to your rating</w:t>
            </w:r>
            <w:r w:rsidR="00105806" w:rsidRPr="008D2153">
              <w:rPr>
                <w:b/>
              </w:rPr>
              <w:t>:</w:t>
            </w:r>
          </w:p>
        </w:tc>
      </w:tr>
      <w:tr w:rsidR="00236B7B" w:rsidRPr="008D2153" w:rsidTr="00105806">
        <w:tc>
          <w:tcPr>
            <w:tcW w:w="2695" w:type="dxa"/>
          </w:tcPr>
          <w:p w:rsidR="00236B7B" w:rsidRPr="008D2153" w:rsidRDefault="0018082B">
            <w:pPr>
              <w:rPr>
                <w:i/>
              </w:rPr>
            </w:pPr>
            <w:r w:rsidRPr="008D2153">
              <w:rPr>
                <w:i/>
              </w:rPr>
              <w:t>Develop safe and sustainable solutions</w:t>
            </w:r>
          </w:p>
        </w:tc>
        <w:tc>
          <w:tcPr>
            <w:tcW w:w="3779" w:type="dxa"/>
          </w:tcPr>
          <w:p w:rsidR="0018082B" w:rsidRPr="008D2153" w:rsidRDefault="00105806" w:rsidP="008D2153">
            <w:pPr>
              <w:autoSpaceDE w:val="0"/>
              <w:autoSpaceDN w:val="0"/>
              <w:adjustRightInd w:val="0"/>
              <w:spacing w:after="120"/>
              <w:rPr>
                <w:rFonts w:cs="Times New Roman"/>
                <w:bCs/>
                <w:sz w:val="24"/>
                <w:szCs w:val="24"/>
              </w:rPr>
            </w:pPr>
            <w:r w:rsidRPr="008D2153">
              <w:rPr>
                <w:rFonts w:cs="Times New Roman"/>
                <w:bCs/>
                <w:sz w:val="24"/>
                <w:szCs w:val="24"/>
              </w:rPr>
              <w:t>M</w:t>
            </w:r>
            <w:r w:rsidR="0018082B" w:rsidRPr="008D2153">
              <w:rPr>
                <w:rFonts w:cs="Times New Roman"/>
                <w:bCs/>
                <w:sz w:val="24"/>
                <w:szCs w:val="24"/>
              </w:rPr>
              <w:t>eans that you apply and implement current workplace health and safety requirements; and</w:t>
            </w:r>
          </w:p>
          <w:p w:rsidR="0018082B" w:rsidRPr="008D2153" w:rsidRDefault="00105806" w:rsidP="008D2153">
            <w:pPr>
              <w:autoSpaceDE w:val="0"/>
              <w:autoSpaceDN w:val="0"/>
              <w:adjustRightInd w:val="0"/>
              <w:spacing w:after="120"/>
              <w:rPr>
                <w:rFonts w:cs="Times New Roman"/>
                <w:bCs/>
                <w:sz w:val="24"/>
                <w:szCs w:val="24"/>
              </w:rPr>
            </w:pPr>
            <w:r w:rsidRPr="008D2153">
              <w:rPr>
                <w:rFonts w:cs="Times New Roman"/>
                <w:bCs/>
                <w:sz w:val="24"/>
                <w:szCs w:val="24"/>
              </w:rPr>
              <w:t>M</w:t>
            </w:r>
            <w:r w:rsidR="0018082B" w:rsidRPr="008D2153">
              <w:rPr>
                <w:rFonts w:cs="Times New Roman"/>
                <w:bCs/>
                <w:sz w:val="24"/>
                <w:szCs w:val="24"/>
              </w:rPr>
              <w:t>eans that you identify economic, social and environmental impacts of engineering activities; and</w:t>
            </w:r>
          </w:p>
          <w:p w:rsidR="00236B7B" w:rsidRPr="008D2153" w:rsidRDefault="00105806" w:rsidP="0018082B">
            <w:r w:rsidRPr="008D2153">
              <w:rPr>
                <w:rFonts w:cs="Times New Roman"/>
                <w:bCs/>
                <w:sz w:val="24"/>
                <w:szCs w:val="24"/>
              </w:rPr>
              <w:t>M</w:t>
            </w:r>
            <w:r w:rsidR="0018082B" w:rsidRPr="008D2153">
              <w:rPr>
                <w:rFonts w:cs="Times New Roman"/>
                <w:bCs/>
                <w:sz w:val="24"/>
                <w:szCs w:val="24"/>
              </w:rPr>
              <w:t>eans that you anticipate and manage the short and long-term effects of engineering activities</w:t>
            </w:r>
          </w:p>
        </w:tc>
        <w:tc>
          <w:tcPr>
            <w:tcW w:w="1891" w:type="dxa"/>
          </w:tcPr>
          <w:p w:rsidR="00236B7B" w:rsidRPr="008D2153" w:rsidRDefault="00236B7B"/>
        </w:tc>
        <w:tc>
          <w:tcPr>
            <w:tcW w:w="6300" w:type="dxa"/>
          </w:tcPr>
          <w:p w:rsidR="00236B7B" w:rsidRPr="008D2153" w:rsidRDefault="00236B7B"/>
        </w:tc>
      </w:tr>
      <w:tr w:rsidR="00236B7B" w:rsidRPr="008D2153" w:rsidTr="00105806">
        <w:tc>
          <w:tcPr>
            <w:tcW w:w="2695" w:type="dxa"/>
          </w:tcPr>
          <w:p w:rsidR="00236B7B" w:rsidRPr="008D2153" w:rsidRDefault="0018082B">
            <w:pPr>
              <w:rPr>
                <w:i/>
              </w:rPr>
            </w:pPr>
            <w:r w:rsidRPr="008D2153">
              <w:rPr>
                <w:i/>
              </w:rPr>
              <w:t>Engage with the relevant community and stakeholders</w:t>
            </w:r>
          </w:p>
        </w:tc>
        <w:tc>
          <w:tcPr>
            <w:tcW w:w="3779" w:type="dxa"/>
          </w:tcPr>
          <w:p w:rsidR="0018082B" w:rsidRPr="008D2153" w:rsidRDefault="00105806" w:rsidP="008D2153">
            <w:pPr>
              <w:spacing w:after="120"/>
              <w:rPr>
                <w:rFonts w:cs="Times New Roman"/>
                <w:sz w:val="24"/>
                <w:szCs w:val="24"/>
              </w:rPr>
            </w:pPr>
            <w:r w:rsidRPr="008D2153">
              <w:rPr>
                <w:rFonts w:cs="Times New Roman"/>
                <w:sz w:val="24"/>
                <w:szCs w:val="24"/>
              </w:rPr>
              <w:t>M</w:t>
            </w:r>
            <w:r w:rsidR="0018082B" w:rsidRPr="008D2153">
              <w:rPr>
                <w:rFonts w:cs="Times New Roman"/>
                <w:sz w:val="24"/>
                <w:szCs w:val="24"/>
              </w:rPr>
              <w:t>eans you identify stakeholders, individuals or groups of people who could be affected by the short, medium or long-term outcomes of engineering activities, or could exert influence over the engineered outcomes, including local and wider community; and</w:t>
            </w:r>
          </w:p>
          <w:p w:rsidR="0018082B" w:rsidRPr="008D2153" w:rsidRDefault="00105806" w:rsidP="008D2153">
            <w:pPr>
              <w:spacing w:after="120"/>
              <w:rPr>
                <w:rFonts w:cs="Times New Roman"/>
                <w:sz w:val="24"/>
                <w:szCs w:val="24"/>
              </w:rPr>
            </w:pPr>
            <w:r w:rsidRPr="008D2153">
              <w:rPr>
                <w:rFonts w:cs="Times New Roman"/>
                <w:sz w:val="24"/>
                <w:szCs w:val="24"/>
              </w:rPr>
              <w:t>M</w:t>
            </w:r>
            <w:r w:rsidR="0018082B" w:rsidRPr="008D2153">
              <w:rPr>
                <w:rFonts w:cs="Times New Roman"/>
                <w:sz w:val="24"/>
                <w:szCs w:val="24"/>
              </w:rPr>
              <w:t xml:space="preserve">eans you identify stakeholder interests, values, requirements and expectations using the terminology of the stakeholder through consultation and accurate listening; </w:t>
            </w:r>
            <w:r w:rsidR="005B5F06">
              <w:rPr>
                <w:rFonts w:cs="Times New Roman"/>
                <w:sz w:val="24"/>
                <w:szCs w:val="24"/>
              </w:rPr>
              <w:t>`</w:t>
            </w:r>
          </w:p>
          <w:p w:rsidR="00236B7B" w:rsidRPr="008D2153" w:rsidRDefault="00105806" w:rsidP="0018082B">
            <w:r w:rsidRPr="008D2153">
              <w:rPr>
                <w:rFonts w:cs="Times New Roman"/>
                <w:sz w:val="24"/>
                <w:szCs w:val="24"/>
              </w:rPr>
              <w:t>M</w:t>
            </w:r>
            <w:r w:rsidR="0018082B" w:rsidRPr="008D2153">
              <w:rPr>
                <w:rFonts w:cs="Times New Roman"/>
                <w:sz w:val="24"/>
                <w:szCs w:val="24"/>
              </w:rPr>
              <w:t>eans you work ethically to influence perception and expectations of stakeholders and negotiate acceptable outcomes in the best overall interest of relevant communities</w:t>
            </w:r>
          </w:p>
        </w:tc>
        <w:tc>
          <w:tcPr>
            <w:tcW w:w="1891" w:type="dxa"/>
          </w:tcPr>
          <w:p w:rsidR="00236B7B" w:rsidRPr="008D2153" w:rsidRDefault="00236B7B"/>
        </w:tc>
        <w:tc>
          <w:tcPr>
            <w:tcW w:w="6300" w:type="dxa"/>
          </w:tcPr>
          <w:p w:rsidR="00236B7B" w:rsidRPr="008D2153" w:rsidRDefault="00236B7B"/>
        </w:tc>
      </w:tr>
      <w:tr w:rsidR="0018082B" w:rsidRPr="008D2153" w:rsidTr="00105806">
        <w:tc>
          <w:tcPr>
            <w:tcW w:w="2695" w:type="dxa"/>
          </w:tcPr>
          <w:p w:rsidR="0018082B" w:rsidRPr="008D2153" w:rsidRDefault="0018082B" w:rsidP="0018082B">
            <w:pPr>
              <w:rPr>
                <w:i/>
              </w:rPr>
            </w:pPr>
            <w:r w:rsidRPr="008D2153">
              <w:rPr>
                <w:i/>
              </w:rPr>
              <w:t>Identify, assess and manage risks</w:t>
            </w:r>
          </w:p>
        </w:tc>
        <w:tc>
          <w:tcPr>
            <w:tcW w:w="3779" w:type="dxa"/>
          </w:tcPr>
          <w:p w:rsidR="0018082B" w:rsidRPr="008D2153" w:rsidRDefault="00105806" w:rsidP="0018082B">
            <w:pPr>
              <w:rPr>
                <w:rFonts w:cs="Times New Roman"/>
                <w:sz w:val="24"/>
                <w:szCs w:val="24"/>
              </w:rPr>
            </w:pPr>
            <w:r w:rsidRPr="008D2153">
              <w:rPr>
                <w:rFonts w:cs="Times New Roman"/>
                <w:sz w:val="24"/>
                <w:szCs w:val="24"/>
              </w:rPr>
              <w:t>M</w:t>
            </w:r>
            <w:r w:rsidR="0018082B" w:rsidRPr="008D2153">
              <w:rPr>
                <w:rFonts w:cs="Times New Roman"/>
                <w:sz w:val="24"/>
                <w:szCs w:val="24"/>
              </w:rPr>
              <w:t>eans you develop and operate within a hazard and risk framework appropriate to engineering activities</w:t>
            </w:r>
          </w:p>
        </w:tc>
        <w:tc>
          <w:tcPr>
            <w:tcW w:w="1891" w:type="dxa"/>
          </w:tcPr>
          <w:p w:rsidR="0018082B" w:rsidRPr="008D2153" w:rsidRDefault="0018082B" w:rsidP="0018082B"/>
        </w:tc>
        <w:tc>
          <w:tcPr>
            <w:tcW w:w="6300" w:type="dxa"/>
          </w:tcPr>
          <w:p w:rsidR="0018082B" w:rsidRPr="008D2153" w:rsidRDefault="0018082B" w:rsidP="0018082B"/>
        </w:tc>
      </w:tr>
      <w:tr w:rsidR="0018082B" w:rsidRPr="008D2153" w:rsidTr="00105806">
        <w:tc>
          <w:tcPr>
            <w:tcW w:w="2695" w:type="dxa"/>
          </w:tcPr>
          <w:p w:rsidR="0018082B" w:rsidRPr="008D2153" w:rsidRDefault="0018082B" w:rsidP="0018082B">
            <w:pPr>
              <w:rPr>
                <w:i/>
              </w:rPr>
            </w:pPr>
            <w:r w:rsidRPr="008D2153">
              <w:rPr>
                <w:i/>
              </w:rPr>
              <w:t>Meet legal and regulatory requirements</w:t>
            </w:r>
          </w:p>
        </w:tc>
        <w:tc>
          <w:tcPr>
            <w:tcW w:w="3779" w:type="dxa"/>
          </w:tcPr>
          <w:p w:rsidR="0018082B" w:rsidRPr="008D2153" w:rsidRDefault="00105806" w:rsidP="0018082B">
            <w:pPr>
              <w:rPr>
                <w:rFonts w:cs="Times New Roman"/>
                <w:sz w:val="24"/>
                <w:szCs w:val="24"/>
              </w:rPr>
            </w:pPr>
            <w:r w:rsidRPr="008D2153">
              <w:rPr>
                <w:rFonts w:cs="Times New Roman"/>
                <w:sz w:val="24"/>
                <w:szCs w:val="24"/>
              </w:rPr>
              <w:t>M</w:t>
            </w:r>
            <w:r w:rsidR="0018082B" w:rsidRPr="008D2153">
              <w:rPr>
                <w:rFonts w:cs="Times New Roman"/>
                <w:sz w:val="24"/>
                <w:szCs w:val="24"/>
              </w:rPr>
              <w:t>eans that you should be able to demonstrate an understanding of the laws, regulations, codes and other instruments which you are legally bound to apply in your work</w:t>
            </w:r>
          </w:p>
        </w:tc>
        <w:tc>
          <w:tcPr>
            <w:tcW w:w="1891" w:type="dxa"/>
          </w:tcPr>
          <w:p w:rsidR="0018082B" w:rsidRPr="008D2153" w:rsidRDefault="0018082B" w:rsidP="0018082B"/>
        </w:tc>
        <w:tc>
          <w:tcPr>
            <w:tcW w:w="6300" w:type="dxa"/>
          </w:tcPr>
          <w:p w:rsidR="0018082B" w:rsidRPr="008D2153" w:rsidRDefault="0018082B" w:rsidP="0018082B"/>
        </w:tc>
      </w:tr>
    </w:tbl>
    <w:p w:rsidR="00236B7B" w:rsidRPr="008D2153" w:rsidRDefault="00236B7B" w:rsidP="005B5F06">
      <w:pPr>
        <w:spacing w:after="0"/>
      </w:pPr>
      <w:bookmarkStart w:id="0" w:name="_GoBack"/>
    </w:p>
    <w:bookmarkEnd w:id="0"/>
    <w:p w:rsidR="00236B7B" w:rsidRPr="008D2153" w:rsidRDefault="00236B7B">
      <w:pPr>
        <w:rPr>
          <w:b/>
          <w:i/>
        </w:rPr>
      </w:pPr>
      <w:r w:rsidRPr="008D2153">
        <w:rPr>
          <w:b/>
          <w:i/>
          <w:sz w:val="28"/>
          <w:szCs w:val="28"/>
        </w:rPr>
        <w:t>Value in the Workplace:</w:t>
      </w:r>
      <w:r w:rsidRPr="008D2153">
        <w:rPr>
          <w:b/>
          <w:i/>
          <w:sz w:val="24"/>
        </w:rPr>
        <w:t xml:space="preserve"> </w:t>
      </w:r>
      <w:r w:rsidRPr="008D2153">
        <w:rPr>
          <w:b/>
          <w:i/>
        </w:rPr>
        <w:t>This group of Elements of Competency includes key aspects of an engineering practitioner’s delivery of value in the workplace through communication, performance, taking action and exercising sound judgement.</w:t>
      </w:r>
    </w:p>
    <w:tbl>
      <w:tblPr>
        <w:tblStyle w:val="TableGrid"/>
        <w:tblW w:w="0" w:type="auto"/>
        <w:tblLook w:val="04A0" w:firstRow="1" w:lastRow="0" w:firstColumn="1" w:lastColumn="0" w:noHBand="0" w:noVBand="1"/>
      </w:tblPr>
      <w:tblGrid>
        <w:gridCol w:w="2695"/>
        <w:gridCol w:w="3779"/>
        <w:gridCol w:w="1891"/>
        <w:gridCol w:w="6300"/>
      </w:tblGrid>
      <w:tr w:rsidR="00236B7B" w:rsidRPr="008D2153" w:rsidTr="00105806">
        <w:tc>
          <w:tcPr>
            <w:tcW w:w="2695" w:type="dxa"/>
          </w:tcPr>
          <w:p w:rsidR="00236B7B" w:rsidRPr="008D2153" w:rsidRDefault="00236B7B">
            <w:pPr>
              <w:rPr>
                <w:b/>
              </w:rPr>
            </w:pPr>
            <w:r w:rsidRPr="008D2153">
              <w:rPr>
                <w:b/>
              </w:rPr>
              <w:t>Competency</w:t>
            </w:r>
          </w:p>
        </w:tc>
        <w:tc>
          <w:tcPr>
            <w:tcW w:w="3779" w:type="dxa"/>
          </w:tcPr>
          <w:p w:rsidR="00236B7B" w:rsidRPr="008D2153" w:rsidRDefault="00236B7B">
            <w:pPr>
              <w:rPr>
                <w:b/>
              </w:rPr>
            </w:pPr>
            <w:r w:rsidRPr="008D2153">
              <w:rPr>
                <w:b/>
              </w:rPr>
              <w:t>What this competence means in practice</w:t>
            </w:r>
          </w:p>
        </w:tc>
        <w:tc>
          <w:tcPr>
            <w:tcW w:w="1891" w:type="dxa"/>
          </w:tcPr>
          <w:p w:rsidR="00236B7B" w:rsidRPr="008D2153" w:rsidRDefault="00236B7B">
            <w:pPr>
              <w:rPr>
                <w:b/>
              </w:rPr>
            </w:pPr>
            <w:r w:rsidRPr="008D2153">
              <w:rPr>
                <w:b/>
              </w:rPr>
              <w:t>Rating</w:t>
            </w:r>
            <w:r w:rsidR="00105806" w:rsidRPr="008D2153">
              <w:rPr>
                <w:b/>
              </w:rPr>
              <w:t>:</w:t>
            </w:r>
          </w:p>
        </w:tc>
        <w:tc>
          <w:tcPr>
            <w:tcW w:w="6300" w:type="dxa"/>
          </w:tcPr>
          <w:p w:rsidR="00236B7B" w:rsidRPr="008D2153" w:rsidRDefault="00236B7B">
            <w:pPr>
              <w:rPr>
                <w:b/>
              </w:rPr>
            </w:pPr>
            <w:r w:rsidRPr="008D2153">
              <w:rPr>
                <w:b/>
              </w:rPr>
              <w:t>Which are of your Academic Portfolio provides support to your rating</w:t>
            </w:r>
            <w:r w:rsidR="00105806" w:rsidRPr="008D2153">
              <w:rPr>
                <w:b/>
              </w:rPr>
              <w:t>:</w:t>
            </w:r>
          </w:p>
        </w:tc>
      </w:tr>
      <w:tr w:rsidR="00236B7B" w:rsidRPr="008D2153" w:rsidTr="00105806">
        <w:tc>
          <w:tcPr>
            <w:tcW w:w="2695" w:type="dxa"/>
          </w:tcPr>
          <w:p w:rsidR="00236B7B" w:rsidRPr="008D2153" w:rsidRDefault="00236B7B">
            <w:pPr>
              <w:rPr>
                <w:i/>
              </w:rPr>
            </w:pPr>
            <w:r w:rsidRPr="008D2153">
              <w:rPr>
                <w:i/>
              </w:rPr>
              <w:t>Communication</w:t>
            </w:r>
          </w:p>
        </w:tc>
        <w:tc>
          <w:tcPr>
            <w:tcW w:w="3779" w:type="dxa"/>
          </w:tcPr>
          <w:p w:rsidR="00236B7B" w:rsidRPr="008D2153" w:rsidRDefault="00105806" w:rsidP="00105806">
            <w:pPr>
              <w:autoSpaceDE w:val="0"/>
              <w:autoSpaceDN w:val="0"/>
              <w:adjustRightInd w:val="0"/>
              <w:spacing w:after="200"/>
              <w:rPr>
                <w:rFonts w:cs="Times New Roman"/>
                <w:bCs/>
                <w:sz w:val="24"/>
                <w:szCs w:val="24"/>
              </w:rPr>
            </w:pPr>
            <w:r w:rsidRPr="008D2153">
              <w:rPr>
                <w:rFonts w:cs="Times New Roman"/>
                <w:bCs/>
                <w:sz w:val="24"/>
                <w:szCs w:val="24"/>
              </w:rPr>
              <w:t>M</w:t>
            </w:r>
            <w:r w:rsidR="00236B7B" w:rsidRPr="008D2153">
              <w:rPr>
                <w:rFonts w:cs="Times New Roman"/>
                <w:bCs/>
                <w:sz w:val="24"/>
                <w:szCs w:val="24"/>
              </w:rPr>
              <w:t>eans you can communicate in a variety of different ways to collaborate with other people, including accurate listening, reading and comprehension, based on dialogue when appropriate; and</w:t>
            </w:r>
          </w:p>
          <w:p w:rsidR="00236B7B" w:rsidRPr="008D2153" w:rsidRDefault="00105806" w:rsidP="00236B7B">
            <w:r w:rsidRPr="008D2153">
              <w:rPr>
                <w:rFonts w:cs="Times New Roman"/>
                <w:bCs/>
                <w:sz w:val="24"/>
                <w:szCs w:val="24"/>
              </w:rPr>
              <w:t>M</w:t>
            </w:r>
            <w:r w:rsidR="00236B7B" w:rsidRPr="008D2153">
              <w:rPr>
                <w:rFonts w:cs="Times New Roman"/>
                <w:bCs/>
                <w:sz w:val="24"/>
                <w:szCs w:val="24"/>
              </w:rPr>
              <w:t>eans you can speak and write, taking into account the knowledge, expectations, requirements, interests, terminology and language of the intended audience</w:t>
            </w:r>
          </w:p>
        </w:tc>
        <w:tc>
          <w:tcPr>
            <w:tcW w:w="1891" w:type="dxa"/>
          </w:tcPr>
          <w:p w:rsidR="00236B7B" w:rsidRPr="008D2153" w:rsidRDefault="00236B7B"/>
        </w:tc>
        <w:tc>
          <w:tcPr>
            <w:tcW w:w="6300" w:type="dxa"/>
          </w:tcPr>
          <w:p w:rsidR="00236B7B" w:rsidRPr="008D2153" w:rsidRDefault="00236B7B"/>
        </w:tc>
      </w:tr>
      <w:tr w:rsidR="00236B7B" w:rsidRPr="008D2153" w:rsidTr="00105806">
        <w:tc>
          <w:tcPr>
            <w:tcW w:w="2695" w:type="dxa"/>
          </w:tcPr>
          <w:p w:rsidR="00236B7B" w:rsidRPr="008D2153" w:rsidRDefault="00236B7B">
            <w:pPr>
              <w:rPr>
                <w:i/>
              </w:rPr>
            </w:pPr>
            <w:r w:rsidRPr="008D2153">
              <w:rPr>
                <w:i/>
              </w:rPr>
              <w:t>Performance</w:t>
            </w:r>
          </w:p>
        </w:tc>
        <w:tc>
          <w:tcPr>
            <w:tcW w:w="3779" w:type="dxa"/>
          </w:tcPr>
          <w:p w:rsidR="00236B7B" w:rsidRPr="008D2153" w:rsidRDefault="00105806">
            <w:r w:rsidRPr="008D2153">
              <w:rPr>
                <w:rFonts w:cs="Times New Roman"/>
                <w:sz w:val="24"/>
                <w:szCs w:val="24"/>
              </w:rPr>
              <w:t>M</w:t>
            </w:r>
            <w:r w:rsidR="00236B7B" w:rsidRPr="008D2153">
              <w:rPr>
                <w:rFonts w:cs="Times New Roman"/>
                <w:sz w:val="24"/>
                <w:szCs w:val="24"/>
              </w:rPr>
              <w:t>eans that you demonstrate an ability to apply appropriate tools or processes to achieve corporate objectives while accounting for personal obligations to the profession</w:t>
            </w:r>
          </w:p>
        </w:tc>
        <w:tc>
          <w:tcPr>
            <w:tcW w:w="1891" w:type="dxa"/>
          </w:tcPr>
          <w:p w:rsidR="00236B7B" w:rsidRPr="008D2153" w:rsidRDefault="00236B7B"/>
        </w:tc>
        <w:tc>
          <w:tcPr>
            <w:tcW w:w="6300" w:type="dxa"/>
          </w:tcPr>
          <w:p w:rsidR="00236B7B" w:rsidRPr="008D2153" w:rsidRDefault="00236B7B"/>
        </w:tc>
      </w:tr>
      <w:tr w:rsidR="00236B7B" w:rsidRPr="008D2153" w:rsidTr="00105806">
        <w:tc>
          <w:tcPr>
            <w:tcW w:w="2695" w:type="dxa"/>
          </w:tcPr>
          <w:p w:rsidR="00236B7B" w:rsidRPr="008D2153" w:rsidRDefault="00236B7B" w:rsidP="00236B7B">
            <w:pPr>
              <w:rPr>
                <w:i/>
              </w:rPr>
            </w:pPr>
            <w:r w:rsidRPr="008D2153">
              <w:rPr>
                <w:i/>
              </w:rPr>
              <w:t>Taking Action</w:t>
            </w:r>
          </w:p>
        </w:tc>
        <w:tc>
          <w:tcPr>
            <w:tcW w:w="3779" w:type="dxa"/>
          </w:tcPr>
          <w:p w:rsidR="00236B7B" w:rsidRPr="008D2153" w:rsidRDefault="00105806" w:rsidP="00236B7B">
            <w:pPr>
              <w:rPr>
                <w:rFonts w:cs="Times New Roman"/>
                <w:sz w:val="24"/>
                <w:szCs w:val="24"/>
              </w:rPr>
            </w:pPr>
            <w:r w:rsidRPr="008D2153">
              <w:rPr>
                <w:rFonts w:cs="Times New Roman"/>
                <w:sz w:val="24"/>
                <w:szCs w:val="24"/>
              </w:rPr>
              <w:t>M</w:t>
            </w:r>
            <w:r w:rsidR="00236B7B" w:rsidRPr="008D2153">
              <w:rPr>
                <w:rFonts w:cs="Times New Roman"/>
                <w:sz w:val="24"/>
                <w:szCs w:val="24"/>
              </w:rPr>
              <w:t>eans you initiate, plan lead or manage engineering activities</w:t>
            </w:r>
          </w:p>
        </w:tc>
        <w:tc>
          <w:tcPr>
            <w:tcW w:w="1891" w:type="dxa"/>
          </w:tcPr>
          <w:p w:rsidR="00236B7B" w:rsidRPr="008D2153" w:rsidRDefault="00236B7B" w:rsidP="00236B7B"/>
        </w:tc>
        <w:tc>
          <w:tcPr>
            <w:tcW w:w="6300" w:type="dxa"/>
          </w:tcPr>
          <w:p w:rsidR="00236B7B" w:rsidRPr="008D2153" w:rsidRDefault="00236B7B" w:rsidP="00236B7B"/>
        </w:tc>
      </w:tr>
      <w:tr w:rsidR="00236B7B" w:rsidRPr="008D2153" w:rsidTr="00105806">
        <w:tc>
          <w:tcPr>
            <w:tcW w:w="2695" w:type="dxa"/>
          </w:tcPr>
          <w:p w:rsidR="00236B7B" w:rsidRPr="008D2153" w:rsidRDefault="00236B7B" w:rsidP="00236B7B">
            <w:pPr>
              <w:rPr>
                <w:i/>
              </w:rPr>
            </w:pPr>
            <w:r w:rsidRPr="008D2153">
              <w:rPr>
                <w:i/>
              </w:rPr>
              <w:t>Judgement</w:t>
            </w:r>
          </w:p>
        </w:tc>
        <w:tc>
          <w:tcPr>
            <w:tcW w:w="3779" w:type="dxa"/>
          </w:tcPr>
          <w:p w:rsidR="00236B7B" w:rsidRPr="008D2153" w:rsidRDefault="00105806" w:rsidP="00236B7B">
            <w:pPr>
              <w:rPr>
                <w:rFonts w:cs="Times New Roman"/>
                <w:sz w:val="24"/>
                <w:szCs w:val="24"/>
              </w:rPr>
            </w:pPr>
            <w:r w:rsidRPr="008D2153">
              <w:rPr>
                <w:rFonts w:cs="Times New Roman"/>
                <w:sz w:val="24"/>
                <w:szCs w:val="24"/>
              </w:rPr>
              <w:t>M</w:t>
            </w:r>
            <w:r w:rsidR="00236B7B" w:rsidRPr="008D2153">
              <w:rPr>
                <w:rFonts w:cs="Times New Roman"/>
                <w:sz w:val="24"/>
                <w:szCs w:val="24"/>
              </w:rPr>
              <w:t>eans you exercise sound judgement in engineering activities</w:t>
            </w:r>
          </w:p>
        </w:tc>
        <w:tc>
          <w:tcPr>
            <w:tcW w:w="1891" w:type="dxa"/>
          </w:tcPr>
          <w:p w:rsidR="00236B7B" w:rsidRPr="008D2153" w:rsidRDefault="00236B7B" w:rsidP="00236B7B"/>
        </w:tc>
        <w:tc>
          <w:tcPr>
            <w:tcW w:w="6300" w:type="dxa"/>
          </w:tcPr>
          <w:p w:rsidR="00236B7B" w:rsidRPr="008D2153" w:rsidRDefault="00236B7B" w:rsidP="00236B7B"/>
        </w:tc>
      </w:tr>
    </w:tbl>
    <w:p w:rsidR="00236B7B" w:rsidRPr="008D2153" w:rsidRDefault="00236B7B"/>
    <w:sectPr w:rsidR="00236B7B" w:rsidRPr="008D2153" w:rsidSect="00105806">
      <w:pgSz w:w="15840" w:h="12240" w:orient="landscape"/>
      <w:pgMar w:top="864"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C40"/>
    <w:rsid w:val="000A7574"/>
    <w:rsid w:val="00105806"/>
    <w:rsid w:val="0018082B"/>
    <w:rsid w:val="00236B7B"/>
    <w:rsid w:val="00554C40"/>
    <w:rsid w:val="005B5F06"/>
    <w:rsid w:val="008D2153"/>
    <w:rsid w:val="00991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65896"/>
  <w15:chartTrackingRefBased/>
  <w15:docId w15:val="{1AFADD97-737F-43B8-9720-57CC789D5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4C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36B7B"/>
    <w:rPr>
      <w:color w:val="808080"/>
    </w:rPr>
  </w:style>
  <w:style w:type="character" w:styleId="Hyperlink">
    <w:name w:val="Hyperlink"/>
    <w:basedOn w:val="DefaultParagraphFont"/>
    <w:uiPriority w:val="99"/>
    <w:unhideWhenUsed/>
    <w:rsid w:val="008D21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ngineersaustralia.org.au/Membership/Chartered/Chartered-Hel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4</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NPiotrowicz</dc:creator>
  <cp:keywords/>
  <dc:description/>
  <cp:lastModifiedBy>NPiotrowicz</cp:lastModifiedBy>
  <cp:revision>4</cp:revision>
  <dcterms:created xsi:type="dcterms:W3CDTF">2018-02-09T01:27:00Z</dcterms:created>
  <dcterms:modified xsi:type="dcterms:W3CDTF">2018-02-09T02:34:00Z</dcterms:modified>
</cp:coreProperties>
</file>